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36" w:rsidRPr="00FC28E9" w:rsidRDefault="00435036" w:rsidP="004350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de-DE"/>
        </w:rPr>
      </w:pPr>
      <w:r w:rsidRPr="00FC28E9">
        <w:rPr>
          <w:rFonts w:ascii="Arial" w:hAnsi="Arial" w:cs="Arial"/>
          <w:b/>
          <w:sz w:val="24"/>
          <w:szCs w:val="24"/>
        </w:rPr>
        <w:t xml:space="preserve">Fahren ohne Fahrerlaubnis </w:t>
      </w:r>
    </w:p>
    <w:p w:rsidR="00435036" w:rsidRPr="00302F23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Pr="00302F23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860BFC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Anlässlich der Überprüfung der Fahrerlaubnis, händigte der Beschuldigte den einschreitenden Polizeibeamten seinen Führerschein aus.</w:t>
      </w:r>
      <w:r w:rsidR="00435036">
        <w:rPr>
          <w:rFonts w:ascii="Arial" w:hAnsi="Arial" w:cs="Arial"/>
          <w:sz w:val="24"/>
          <w:szCs w:val="24"/>
        </w:rPr>
        <w:t xml:space="preserve"> 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handelt es sich um einen spanischen Führerschein. Auf der Rückseite (dortiges Feld 12) ist die Schlüsselzahl 70 mit den folgenden zugehörigen Eintragungen vermerkt: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Pr="00F16D66" w:rsidRDefault="00F16D66" w:rsidP="00F16D6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16D66">
        <w:rPr>
          <w:rFonts w:ascii="Arial" w:hAnsi="Arial" w:cs="Arial"/>
          <w:i/>
          <w:sz w:val="24"/>
          <w:szCs w:val="24"/>
        </w:rPr>
        <w:t>„</w:t>
      </w:r>
      <w:r w:rsidR="00435036" w:rsidRPr="00F16D66">
        <w:rPr>
          <w:rFonts w:ascii="Arial" w:hAnsi="Arial" w:cs="Arial"/>
          <w:i/>
          <w:sz w:val="24"/>
          <w:szCs w:val="24"/>
        </w:rPr>
        <w:t>70. … .MA</w:t>
      </w:r>
      <w:r w:rsidRPr="00F16D66">
        <w:rPr>
          <w:rFonts w:ascii="Arial" w:hAnsi="Arial" w:cs="Arial"/>
          <w:i/>
          <w:sz w:val="24"/>
          <w:szCs w:val="24"/>
        </w:rPr>
        <w:t>“</w:t>
      </w:r>
      <w:r w:rsidR="00435036" w:rsidRPr="00F16D66">
        <w:rPr>
          <w:rFonts w:ascii="Arial" w:hAnsi="Arial" w:cs="Arial"/>
          <w:i/>
          <w:sz w:val="24"/>
          <w:szCs w:val="24"/>
        </w:rPr>
        <w:t xml:space="preserve"> </w:t>
      </w:r>
    </w:p>
    <w:p w:rsidR="00435036" w:rsidRPr="00302F23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Entsprechend Anhang 1 der 3. EU-Führerscheinrichtlinie</w:t>
      </w:r>
      <w:r w:rsidR="004908AB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und Anlage 9 FeV bedeutet dies: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Pr="00FC28E9" w:rsidRDefault="00435036" w:rsidP="0043503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C28E9">
        <w:rPr>
          <w:rFonts w:ascii="Arial" w:hAnsi="Arial" w:cs="Arial"/>
          <w:i/>
          <w:sz w:val="24"/>
          <w:szCs w:val="24"/>
        </w:rPr>
        <w:t>„Umtausch des Führerscheins Nummer … ausgestellt durch … (ECE-Symbol im Falle eines Drittlandes; z.B. 70.0123456789.NL</w:t>
      </w:r>
      <w:r w:rsidR="00F16D66">
        <w:rPr>
          <w:rFonts w:ascii="Arial" w:hAnsi="Arial" w:cs="Arial"/>
          <w:i/>
          <w:sz w:val="24"/>
          <w:szCs w:val="24"/>
        </w:rPr>
        <w:t>)</w:t>
      </w:r>
      <w:r w:rsidRPr="00FC28E9">
        <w:rPr>
          <w:rFonts w:ascii="Arial" w:hAnsi="Arial" w:cs="Arial"/>
          <w:i/>
          <w:sz w:val="24"/>
          <w:szCs w:val="24"/>
        </w:rPr>
        <w:t>“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handelt es sich nach Artikel 11 VI der 3. EU-Führerscheinrichtlinie um einen prüfungsfreien Umtausch</w:t>
      </w:r>
      <w:r w:rsidR="00C47895">
        <w:rPr>
          <w:rFonts w:ascii="Arial" w:hAnsi="Arial" w:cs="Arial"/>
          <w:sz w:val="24"/>
          <w:szCs w:val="24"/>
        </w:rPr>
        <w:t xml:space="preserve"> des marokkanischen in den vorliegenden spanischen Führerschein</w:t>
      </w:r>
      <w:r>
        <w:rPr>
          <w:rFonts w:ascii="Arial" w:hAnsi="Arial" w:cs="Arial"/>
          <w:sz w:val="24"/>
          <w:szCs w:val="24"/>
        </w:rPr>
        <w:t>.</w:t>
      </w:r>
      <w:r w:rsidR="00DA6473">
        <w:rPr>
          <w:rStyle w:val="Funotenzeichen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Das ergibt sich nachfolgend auch aus Artikel 21 der spanischen Fahrerlaubnisverordnung (</w:t>
      </w:r>
      <w:proofErr w:type="spellStart"/>
      <w:r>
        <w:rPr>
          <w:rFonts w:ascii="Arial" w:hAnsi="Arial" w:cs="Arial"/>
          <w:sz w:val="24"/>
          <w:szCs w:val="24"/>
        </w:rPr>
        <w:t>Reglamento</w:t>
      </w:r>
      <w:proofErr w:type="spellEnd"/>
      <w:r>
        <w:rPr>
          <w:rFonts w:ascii="Arial" w:hAnsi="Arial" w:cs="Arial"/>
          <w:sz w:val="24"/>
          <w:szCs w:val="24"/>
        </w:rPr>
        <w:t xml:space="preserve"> General de </w:t>
      </w:r>
      <w:proofErr w:type="spellStart"/>
      <w:r>
        <w:rPr>
          <w:rFonts w:ascii="Arial" w:hAnsi="Arial" w:cs="Arial"/>
          <w:sz w:val="24"/>
          <w:szCs w:val="24"/>
        </w:rPr>
        <w:t>Conductores</w:t>
      </w:r>
      <w:proofErr w:type="spellEnd"/>
      <w:r w:rsidR="00B53CD8">
        <w:rPr>
          <w:rStyle w:val="Funotenzeichen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)</w:t>
      </w:r>
      <w:r w:rsidR="00D606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68B">
        <w:rPr>
          <w:rFonts w:ascii="Arial" w:hAnsi="Arial" w:cs="Arial"/>
          <w:sz w:val="24"/>
          <w:szCs w:val="24"/>
        </w:rPr>
        <w:t>i.V.m</w:t>
      </w:r>
      <w:proofErr w:type="spellEnd"/>
      <w:r w:rsidR="00D6068B">
        <w:rPr>
          <w:rFonts w:ascii="Arial" w:hAnsi="Arial" w:cs="Arial"/>
          <w:sz w:val="24"/>
          <w:szCs w:val="24"/>
        </w:rPr>
        <w:t>. dem zugehörigen bilateralen marokkanisch-spanischen Abkommen</w:t>
      </w:r>
      <w:r w:rsidR="00E9222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222E">
        <w:rPr>
          <w:rFonts w:ascii="Arial" w:hAnsi="Arial" w:cs="Arial"/>
          <w:sz w:val="24"/>
          <w:szCs w:val="24"/>
        </w:rPr>
        <w:t>convenio</w:t>
      </w:r>
      <w:proofErr w:type="spellEnd"/>
      <w:r w:rsidR="0005627E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E922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Das spanische Innenministerium (</w:t>
      </w:r>
      <w:proofErr w:type="spellStart"/>
      <w:r>
        <w:rPr>
          <w:rFonts w:ascii="Arial" w:hAnsi="Arial" w:cs="Arial"/>
          <w:sz w:val="24"/>
          <w:szCs w:val="24"/>
        </w:rPr>
        <w:t>Ministerio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Interior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Direccion</w:t>
      </w:r>
      <w:proofErr w:type="spellEnd"/>
      <w:r>
        <w:rPr>
          <w:rFonts w:ascii="Arial" w:hAnsi="Arial" w:cs="Arial"/>
          <w:sz w:val="24"/>
          <w:szCs w:val="24"/>
        </w:rPr>
        <w:t xml:space="preserve"> General de </w:t>
      </w:r>
      <w:proofErr w:type="spellStart"/>
      <w:r>
        <w:rPr>
          <w:rFonts w:ascii="Arial" w:hAnsi="Arial" w:cs="Arial"/>
          <w:sz w:val="24"/>
          <w:szCs w:val="24"/>
        </w:rPr>
        <w:t>Trafico</w:t>
      </w:r>
      <w:proofErr w:type="spellEnd"/>
      <w:r>
        <w:rPr>
          <w:rFonts w:ascii="Arial" w:hAnsi="Arial" w:cs="Arial"/>
          <w:sz w:val="24"/>
          <w:szCs w:val="24"/>
        </w:rPr>
        <w:t xml:space="preserve">) weist in einem </w:t>
      </w:r>
      <w:r w:rsidR="00F16D66">
        <w:rPr>
          <w:rFonts w:ascii="Arial" w:hAnsi="Arial" w:cs="Arial"/>
          <w:sz w:val="24"/>
          <w:szCs w:val="24"/>
        </w:rPr>
        <w:t xml:space="preserve">im Internet verfügbaren </w:t>
      </w:r>
      <w:r w:rsidR="00C47895">
        <w:rPr>
          <w:rFonts w:ascii="Arial" w:hAnsi="Arial" w:cs="Arial"/>
          <w:sz w:val="24"/>
          <w:szCs w:val="24"/>
        </w:rPr>
        <w:t xml:space="preserve">deutschsprachigen </w:t>
      </w:r>
      <w:r w:rsidR="00F16D66">
        <w:rPr>
          <w:rFonts w:ascii="Arial" w:hAnsi="Arial" w:cs="Arial"/>
          <w:sz w:val="24"/>
          <w:szCs w:val="24"/>
        </w:rPr>
        <w:t>Schreiben</w:t>
      </w:r>
      <w:r w:rsidR="00F16D66">
        <w:rPr>
          <w:rStyle w:val="Funotenzeichen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ergänzend darauf hin, dass Führerscheine der Klassen A1, A, B, BE aus Marokko ohne Prüfung umgeschrieben werden.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Verlegt der Inhaber dieses </w:t>
      </w:r>
      <w:r w:rsidR="00C47895">
        <w:rPr>
          <w:rFonts w:ascii="Arial" w:hAnsi="Arial" w:cs="Arial"/>
          <w:sz w:val="24"/>
          <w:szCs w:val="24"/>
        </w:rPr>
        <w:t xml:space="preserve">(hier: spanischen) Führerscheins </w:t>
      </w:r>
      <w:r>
        <w:rPr>
          <w:rFonts w:ascii="Arial" w:hAnsi="Arial" w:cs="Arial"/>
          <w:sz w:val="24"/>
          <w:szCs w:val="24"/>
        </w:rPr>
        <w:t xml:space="preserve">seinen ordentlichen Wohnsitz in einen anderen Mitgliedstaat, so braucht dieser Mitgliedstaat </w:t>
      </w:r>
      <w:r w:rsidR="00C47895">
        <w:rPr>
          <w:rFonts w:ascii="Arial" w:hAnsi="Arial" w:cs="Arial"/>
          <w:sz w:val="24"/>
          <w:szCs w:val="24"/>
        </w:rPr>
        <w:t xml:space="preserve">(hier: Deutschland) </w:t>
      </w:r>
      <w:r>
        <w:rPr>
          <w:rFonts w:ascii="Arial" w:hAnsi="Arial" w:cs="Arial"/>
          <w:sz w:val="24"/>
          <w:szCs w:val="24"/>
        </w:rPr>
        <w:t>gemäß Artikel 11 VI der 3. EU-Führerscheinrichtlinie den Grundsatz der gegenseitigen Anerkennung gemäß Artikel 2 der 3. EU-Führerscheinrichtlinie nicht anzuwenden.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Wirkung vom 30.06.2012 hat der nationale Verordnungsgeber diese Vorschrift dem § 28 IV FeV zusätzlich unter Nummer 7 angefügt</w:t>
      </w:r>
      <w:r w:rsidR="004908AB">
        <w:rPr>
          <w:rFonts w:ascii="Arial" w:hAnsi="Arial" w:cs="Arial"/>
          <w:sz w:val="24"/>
          <w:szCs w:val="24"/>
        </w:rPr>
        <w:t>.</w:t>
      </w:r>
      <w:r w:rsidR="004908AB">
        <w:rPr>
          <w:rStyle w:val="Funotenzeichen"/>
          <w:rFonts w:ascii="Arial" w:hAnsi="Arial" w:cs="Arial"/>
          <w:sz w:val="24"/>
          <w:szCs w:val="24"/>
        </w:rPr>
        <w:footnoteReference w:id="6"/>
      </w:r>
      <w:r w:rsidR="004908AB">
        <w:rPr>
          <w:rFonts w:ascii="Arial" w:hAnsi="Arial" w:cs="Arial"/>
          <w:sz w:val="24"/>
          <w:szCs w:val="24"/>
        </w:rPr>
        <w:t xml:space="preserve"> 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verhält es auch im hier streitbefangenen Fall: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Beschuldigte ließ seinen marokkanischen Führerschein am …. in Spanien umschreiben. Laut Auskunft des Einwohnermeldeamtes </w:t>
      </w:r>
      <w:r w:rsidR="00C47895">
        <w:rPr>
          <w:rFonts w:ascii="Arial" w:hAnsi="Arial" w:cs="Arial"/>
          <w:sz w:val="24"/>
          <w:szCs w:val="24"/>
        </w:rPr>
        <w:t xml:space="preserve">[Stadt] </w:t>
      </w:r>
      <w:r>
        <w:rPr>
          <w:rFonts w:ascii="Arial" w:hAnsi="Arial" w:cs="Arial"/>
          <w:sz w:val="24"/>
          <w:szCs w:val="24"/>
        </w:rPr>
        <w:t xml:space="preserve">hat der Beschuldigte seit dem </w:t>
      </w:r>
      <w:r w:rsidR="0005627E">
        <w:rPr>
          <w:rFonts w:ascii="Arial" w:hAnsi="Arial" w:cs="Arial"/>
          <w:sz w:val="24"/>
          <w:szCs w:val="24"/>
        </w:rPr>
        <w:t>[Datum]</w:t>
      </w:r>
      <w:r>
        <w:rPr>
          <w:rFonts w:ascii="Arial" w:hAnsi="Arial" w:cs="Arial"/>
          <w:sz w:val="24"/>
          <w:szCs w:val="24"/>
        </w:rPr>
        <w:t xml:space="preserve"> seinen festen Wohnsitz in Deutschland. Damit richtet sich seine weitere Fahrberechtigung entsprechend § 29 I Satz 3 FeV nunmehr nach § 28 FeV. </w:t>
      </w:r>
      <w:r>
        <w:rPr>
          <w:rFonts w:ascii="Arial" w:hAnsi="Arial" w:cs="Arial"/>
          <w:sz w:val="24"/>
          <w:szCs w:val="24"/>
        </w:rPr>
        <w:lastRenderedPageBreak/>
        <w:t xml:space="preserve">Nach der wie vor erläuterten Vorschrift des </w:t>
      </w:r>
      <w:r w:rsidR="00C47895">
        <w:rPr>
          <w:rFonts w:ascii="Arial" w:hAnsi="Arial" w:cs="Arial"/>
          <w:sz w:val="24"/>
          <w:szCs w:val="24"/>
        </w:rPr>
        <w:t>§ 28 IV</w:t>
      </w:r>
      <w:r>
        <w:rPr>
          <w:rFonts w:ascii="Arial" w:hAnsi="Arial" w:cs="Arial"/>
          <w:sz w:val="24"/>
          <w:szCs w:val="24"/>
        </w:rPr>
        <w:t xml:space="preserve"> Nr. 7</w:t>
      </w:r>
      <w:r w:rsidR="00C47895">
        <w:rPr>
          <w:rFonts w:ascii="Arial" w:hAnsi="Arial" w:cs="Arial"/>
          <w:sz w:val="24"/>
          <w:szCs w:val="24"/>
        </w:rPr>
        <w:t xml:space="preserve"> FeV </w:t>
      </w:r>
      <w:r>
        <w:rPr>
          <w:rFonts w:ascii="Arial" w:hAnsi="Arial" w:cs="Arial"/>
          <w:sz w:val="24"/>
          <w:szCs w:val="24"/>
        </w:rPr>
        <w:t xml:space="preserve">wird diese Fahrerlaubnis jedoch nicht anerkannt. </w:t>
      </w: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036" w:rsidRDefault="00435036" w:rsidP="00435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Daher liegt im vorliegenden Fall eine Straftat </w:t>
      </w:r>
      <w:proofErr w:type="spellStart"/>
      <w:r>
        <w:rPr>
          <w:rFonts w:ascii="Arial" w:hAnsi="Arial" w:cs="Arial"/>
          <w:sz w:val="24"/>
          <w:szCs w:val="24"/>
        </w:rPr>
        <w:t>i.S.d</w:t>
      </w:r>
      <w:proofErr w:type="spellEnd"/>
      <w:r>
        <w:rPr>
          <w:rFonts w:ascii="Arial" w:hAnsi="Arial" w:cs="Arial"/>
          <w:sz w:val="24"/>
          <w:szCs w:val="24"/>
        </w:rPr>
        <w:t>. § 21 StVG (Fahren ohne Fahrerlaubnis) vor.</w:t>
      </w:r>
      <w:r w:rsidR="004908AB">
        <w:rPr>
          <w:rStyle w:val="Funotenzeichen"/>
          <w:rFonts w:ascii="Arial" w:hAnsi="Arial" w:cs="Arial"/>
          <w:sz w:val="24"/>
          <w:szCs w:val="24"/>
        </w:rPr>
        <w:footnoteReference w:id="7"/>
      </w:r>
    </w:p>
    <w:p w:rsidR="00D06375" w:rsidRDefault="00D06375">
      <w:bookmarkStart w:id="0" w:name="_GoBack"/>
      <w:bookmarkEnd w:id="0"/>
    </w:p>
    <w:sectPr w:rsidR="00D063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66" w:rsidRDefault="00F16D66" w:rsidP="00F16D66">
      <w:pPr>
        <w:spacing w:after="0" w:line="240" w:lineRule="auto"/>
      </w:pPr>
      <w:r>
        <w:separator/>
      </w:r>
    </w:p>
  </w:endnote>
  <w:endnote w:type="continuationSeparator" w:id="0">
    <w:p w:rsidR="00F16D66" w:rsidRDefault="00F16D66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66" w:rsidRDefault="00F16D66" w:rsidP="00F16D66">
      <w:pPr>
        <w:spacing w:after="0" w:line="240" w:lineRule="auto"/>
      </w:pPr>
      <w:r>
        <w:separator/>
      </w:r>
    </w:p>
  </w:footnote>
  <w:footnote w:type="continuationSeparator" w:id="0">
    <w:p w:rsidR="00F16D66" w:rsidRDefault="00F16D66" w:rsidP="00F16D66">
      <w:pPr>
        <w:spacing w:after="0" w:line="240" w:lineRule="auto"/>
      </w:pPr>
      <w:r>
        <w:continuationSeparator/>
      </w:r>
    </w:p>
  </w:footnote>
  <w:footnote w:id="1">
    <w:p w:rsidR="004908AB" w:rsidRPr="00DA6473" w:rsidRDefault="004908AB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6473">
        <w:rPr>
          <w:rStyle w:val="Funotenzeichen"/>
          <w:rFonts w:ascii="Arial" w:hAnsi="Arial" w:cs="Arial"/>
          <w:sz w:val="18"/>
          <w:szCs w:val="18"/>
        </w:rPr>
        <w:footnoteRef/>
      </w:r>
      <w:r w:rsidRPr="00DA6473">
        <w:rPr>
          <w:rFonts w:ascii="Arial" w:hAnsi="Arial" w:cs="Arial"/>
          <w:sz w:val="18"/>
          <w:szCs w:val="18"/>
        </w:rPr>
        <w:t xml:space="preserve"> </w:t>
      </w:r>
      <w:r w:rsidRPr="00DA6473">
        <w:rPr>
          <w:rFonts w:ascii="Arial" w:hAnsi="Arial" w:cs="Arial"/>
          <w:sz w:val="18"/>
          <w:szCs w:val="18"/>
        </w:rPr>
        <w:tab/>
        <w:t>Richtlinie des Europäischen Parlaments und des Rates vom 20.12.2006 über den Führerschein (</w:t>
      </w:r>
      <w:proofErr w:type="spellStart"/>
      <w:r w:rsidRPr="00DA6473">
        <w:rPr>
          <w:rFonts w:ascii="Arial" w:hAnsi="Arial" w:cs="Arial"/>
          <w:sz w:val="18"/>
          <w:szCs w:val="18"/>
        </w:rPr>
        <w:t>ABl.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 EU L 40, 1).</w:t>
      </w:r>
    </w:p>
  </w:footnote>
  <w:footnote w:id="2">
    <w:p w:rsidR="00DA6473" w:rsidRPr="00DA6473" w:rsidRDefault="00DA6473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6473">
        <w:rPr>
          <w:rStyle w:val="Funotenzeichen"/>
          <w:rFonts w:ascii="Arial" w:hAnsi="Arial" w:cs="Arial"/>
          <w:sz w:val="18"/>
          <w:szCs w:val="18"/>
        </w:rPr>
        <w:footnoteRef/>
      </w:r>
      <w:r w:rsidRPr="00DA6473">
        <w:rPr>
          <w:rFonts w:ascii="Arial" w:hAnsi="Arial" w:cs="Arial"/>
          <w:sz w:val="18"/>
          <w:szCs w:val="18"/>
        </w:rPr>
        <w:t xml:space="preserve"> </w:t>
      </w:r>
      <w:r w:rsidRPr="00DA6473">
        <w:rPr>
          <w:rFonts w:ascii="Arial" w:hAnsi="Arial" w:cs="Arial"/>
          <w:sz w:val="18"/>
          <w:szCs w:val="18"/>
        </w:rPr>
        <w:tab/>
        <w:t xml:space="preserve">Vgl. </w:t>
      </w:r>
      <w:r w:rsidRPr="00DA6473">
        <w:rPr>
          <w:rFonts w:ascii="Arial" w:hAnsi="Arial" w:cs="Arial"/>
          <w:i/>
          <w:sz w:val="18"/>
          <w:szCs w:val="18"/>
        </w:rPr>
        <w:t>Huppertz</w:t>
      </w:r>
      <w:r w:rsidRPr="00DA6473">
        <w:rPr>
          <w:rFonts w:ascii="Arial" w:hAnsi="Arial" w:cs="Arial"/>
          <w:sz w:val="18"/>
          <w:szCs w:val="18"/>
        </w:rPr>
        <w:t>, Die Eintragung der Schlüsselzahl 70 in EU-/EWR-Führerscheine, DAR 2018, 594.</w:t>
      </w:r>
    </w:p>
  </w:footnote>
  <w:footnote w:id="3">
    <w:p w:rsidR="00B53CD8" w:rsidRPr="00B53CD8" w:rsidRDefault="00B53CD8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B53CD8">
        <w:rPr>
          <w:rStyle w:val="Funotenzeichen"/>
          <w:rFonts w:ascii="Arial" w:hAnsi="Arial" w:cs="Arial"/>
          <w:sz w:val="18"/>
          <w:szCs w:val="18"/>
        </w:rPr>
        <w:footnoteRef/>
      </w:r>
      <w:r w:rsidRPr="00B53CD8">
        <w:rPr>
          <w:rFonts w:ascii="Arial" w:hAnsi="Arial" w:cs="Arial"/>
          <w:sz w:val="18"/>
          <w:szCs w:val="18"/>
          <w:lang w:val="en-US"/>
        </w:rPr>
        <w:t xml:space="preserve"> </w:t>
      </w:r>
      <w:r w:rsidRPr="00B53CD8">
        <w:rPr>
          <w:rFonts w:ascii="Arial" w:hAnsi="Arial" w:cs="Arial"/>
          <w:sz w:val="18"/>
          <w:szCs w:val="18"/>
          <w:lang w:val="en-US"/>
        </w:rPr>
        <w:tab/>
        <w:t xml:space="preserve">Real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Decreto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818/2009, de 8 de mayo,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por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el que se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aprueba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el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Reglamento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General de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Conductores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Ministerio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B53CD8">
        <w:rPr>
          <w:rFonts w:ascii="Arial" w:hAnsi="Arial" w:cs="Arial"/>
          <w:sz w:val="18"/>
          <w:szCs w:val="18"/>
          <w:lang w:val="en-US"/>
        </w:rPr>
        <w:t>del</w:t>
      </w:r>
      <w:proofErr w:type="gramEnd"/>
      <w:r w:rsidRPr="00B53CD8">
        <w:rPr>
          <w:rFonts w:ascii="Arial" w:hAnsi="Arial" w:cs="Arial"/>
          <w:sz w:val="18"/>
          <w:szCs w:val="18"/>
          <w:lang w:val="en-US"/>
        </w:rPr>
        <w:t xml:space="preserve"> Interior </w:t>
      </w:r>
      <w:r>
        <w:rPr>
          <w:rFonts w:ascii="Arial" w:hAnsi="Arial" w:cs="Arial"/>
          <w:sz w:val="18"/>
          <w:szCs w:val="18"/>
          <w:lang w:val="en-US"/>
        </w:rPr>
        <w:t>»</w:t>
      </w:r>
      <w:r w:rsidRPr="00B53CD8">
        <w:rPr>
          <w:rFonts w:ascii="Arial" w:hAnsi="Arial" w:cs="Arial"/>
          <w:sz w:val="18"/>
          <w:szCs w:val="18"/>
          <w:lang w:val="en-US"/>
        </w:rPr>
        <w:t>BOE</w:t>
      </w:r>
      <w:r>
        <w:rPr>
          <w:rFonts w:ascii="Arial" w:hAnsi="Arial" w:cs="Arial"/>
          <w:sz w:val="18"/>
          <w:szCs w:val="18"/>
          <w:lang w:val="en-US"/>
        </w:rPr>
        <w:t xml:space="preserve">«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nú</w:t>
      </w:r>
      <w:r w:rsidR="0005627E">
        <w:rPr>
          <w:rFonts w:ascii="Arial" w:hAnsi="Arial" w:cs="Arial"/>
          <w:sz w:val="18"/>
          <w:szCs w:val="18"/>
          <w:lang w:val="en-US"/>
        </w:rPr>
        <w:t>m</w:t>
      </w:r>
      <w:proofErr w:type="spellEnd"/>
      <w:r w:rsidR="0005627E">
        <w:rPr>
          <w:rFonts w:ascii="Arial" w:hAnsi="Arial" w:cs="Arial"/>
          <w:sz w:val="18"/>
          <w:szCs w:val="18"/>
          <w:lang w:val="en-US"/>
        </w:rPr>
        <w:t xml:space="preserve">. 138, de 8 de </w:t>
      </w:r>
      <w:proofErr w:type="spellStart"/>
      <w:r w:rsidR="0005627E">
        <w:rPr>
          <w:rFonts w:ascii="Arial" w:hAnsi="Arial" w:cs="Arial"/>
          <w:sz w:val="18"/>
          <w:szCs w:val="18"/>
          <w:lang w:val="en-US"/>
        </w:rPr>
        <w:t>jun</w:t>
      </w:r>
      <w:r w:rsidR="0054592A">
        <w:rPr>
          <w:rFonts w:ascii="Arial" w:hAnsi="Arial" w:cs="Arial"/>
          <w:sz w:val="18"/>
          <w:szCs w:val="18"/>
          <w:lang w:val="en-US"/>
        </w:rPr>
        <w:t>i</w:t>
      </w:r>
      <w:r w:rsidRPr="00B53CD8">
        <w:rPr>
          <w:rFonts w:ascii="Arial" w:hAnsi="Arial" w:cs="Arial"/>
          <w:sz w:val="18"/>
          <w:szCs w:val="18"/>
          <w:lang w:val="en-US"/>
        </w:rPr>
        <w:t>o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de 2009 </w:t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Referencia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>: BOE-A-2009-9481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  <w:footnote w:id="4">
    <w:p w:rsidR="0005627E" w:rsidRPr="0005627E" w:rsidRDefault="0005627E" w:rsidP="00297DEC">
      <w:pPr>
        <w:pStyle w:val="Funotentext"/>
        <w:ind w:left="357" w:hanging="357"/>
        <w:rPr>
          <w:lang w:val="en-US"/>
        </w:rPr>
      </w:pPr>
      <w:r>
        <w:rPr>
          <w:rStyle w:val="Funotenzeichen"/>
        </w:rPr>
        <w:footnoteRef/>
      </w:r>
      <w:r w:rsidRPr="0005627E">
        <w:rPr>
          <w:lang w:val="en-US"/>
        </w:rPr>
        <w:t xml:space="preserve"> </w:t>
      </w:r>
      <w:r w:rsidRPr="0005627E">
        <w:rPr>
          <w:lang w:val="en-US"/>
        </w:rPr>
        <w:tab/>
      </w:r>
      <w:proofErr w:type="spellStart"/>
      <w:r w:rsidRPr="00B53CD8">
        <w:rPr>
          <w:rFonts w:ascii="Arial" w:hAnsi="Arial" w:cs="Arial"/>
          <w:sz w:val="18"/>
          <w:szCs w:val="18"/>
          <w:lang w:val="en-US"/>
        </w:rPr>
        <w:t>Ministerio</w:t>
      </w:r>
      <w:proofErr w:type="spellEnd"/>
      <w:r w:rsidRPr="00B53CD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B53CD8">
        <w:rPr>
          <w:rFonts w:ascii="Arial" w:hAnsi="Arial" w:cs="Arial"/>
          <w:sz w:val="18"/>
          <w:szCs w:val="18"/>
          <w:lang w:val="en-US"/>
        </w:rPr>
        <w:t>del</w:t>
      </w:r>
      <w:proofErr w:type="gramEnd"/>
      <w:r w:rsidRPr="00B53CD8">
        <w:rPr>
          <w:rFonts w:ascii="Arial" w:hAnsi="Arial" w:cs="Arial"/>
          <w:sz w:val="18"/>
          <w:szCs w:val="18"/>
          <w:lang w:val="en-US"/>
        </w:rPr>
        <w:t xml:space="preserve"> Interior </w:t>
      </w:r>
      <w:r>
        <w:rPr>
          <w:rFonts w:ascii="Arial" w:hAnsi="Arial" w:cs="Arial"/>
          <w:sz w:val="18"/>
          <w:szCs w:val="18"/>
          <w:lang w:val="en-US"/>
        </w:rPr>
        <w:t>»</w:t>
      </w:r>
      <w:r w:rsidRPr="00B53CD8">
        <w:rPr>
          <w:rFonts w:ascii="Arial" w:hAnsi="Arial" w:cs="Arial"/>
          <w:sz w:val="18"/>
          <w:szCs w:val="18"/>
          <w:lang w:val="en-US"/>
        </w:rPr>
        <w:t>BOE</w:t>
      </w:r>
      <w:r>
        <w:rPr>
          <w:rFonts w:ascii="Arial" w:hAnsi="Arial" w:cs="Arial"/>
          <w:sz w:val="18"/>
          <w:szCs w:val="18"/>
          <w:lang w:val="en-US"/>
        </w:rPr>
        <w:t xml:space="preserve">«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núm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133, de 2 de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jun</w:t>
      </w:r>
      <w:r w:rsidR="0054592A"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  <w:lang w:val="en-US"/>
        </w:rPr>
        <w:t>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2004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Referencia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BOE-A-2004-10189.</w:t>
      </w:r>
    </w:p>
  </w:footnote>
  <w:footnote w:id="5">
    <w:p w:rsidR="00F16D66" w:rsidRPr="00C47895" w:rsidRDefault="00F16D66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DA6473">
        <w:rPr>
          <w:rStyle w:val="Funotenzeichen"/>
          <w:rFonts w:ascii="Arial" w:hAnsi="Arial" w:cs="Arial"/>
          <w:sz w:val="18"/>
          <w:szCs w:val="18"/>
        </w:rPr>
        <w:footnoteRef/>
      </w:r>
      <w:r w:rsidRPr="00C47895">
        <w:rPr>
          <w:rFonts w:ascii="Arial" w:hAnsi="Arial" w:cs="Arial"/>
          <w:sz w:val="18"/>
          <w:szCs w:val="18"/>
          <w:lang w:val="en-US"/>
        </w:rPr>
        <w:t xml:space="preserve"> </w:t>
      </w:r>
      <w:r w:rsidRPr="00C47895">
        <w:rPr>
          <w:rFonts w:ascii="Arial" w:hAnsi="Arial" w:cs="Arial"/>
          <w:sz w:val="18"/>
          <w:szCs w:val="18"/>
          <w:lang w:val="en-US"/>
        </w:rPr>
        <w:tab/>
        <w:t>https://sede.dgt.gob.es/Galerias/tramites-y-multas/permiso-de-conduccion/canje-de-permisos/02-Canje-PC/02-Canje-PC-paises-con-convenio-Aleman.pdf</w:t>
      </w:r>
    </w:p>
  </w:footnote>
  <w:footnote w:id="6">
    <w:p w:rsidR="004908AB" w:rsidRPr="00DA6473" w:rsidRDefault="004908AB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6473">
        <w:rPr>
          <w:rStyle w:val="Funotenzeichen"/>
          <w:rFonts w:ascii="Arial" w:hAnsi="Arial" w:cs="Arial"/>
          <w:sz w:val="18"/>
          <w:szCs w:val="18"/>
        </w:rPr>
        <w:footnoteRef/>
      </w:r>
      <w:r w:rsidRPr="00DA6473">
        <w:rPr>
          <w:rFonts w:ascii="Arial" w:hAnsi="Arial" w:cs="Arial"/>
          <w:sz w:val="18"/>
          <w:szCs w:val="18"/>
        </w:rPr>
        <w:t xml:space="preserve"> </w:t>
      </w:r>
      <w:r w:rsidRPr="00DA6473">
        <w:rPr>
          <w:rFonts w:ascii="Arial" w:hAnsi="Arial" w:cs="Arial"/>
          <w:sz w:val="18"/>
          <w:szCs w:val="18"/>
        </w:rPr>
        <w:tab/>
        <w:t xml:space="preserve">7. </w:t>
      </w:r>
      <w:proofErr w:type="spellStart"/>
      <w:r w:rsidRPr="00DA6473">
        <w:rPr>
          <w:rFonts w:ascii="Arial" w:hAnsi="Arial" w:cs="Arial"/>
          <w:sz w:val="18"/>
          <w:szCs w:val="18"/>
        </w:rPr>
        <w:t>ÄndVO</w:t>
      </w:r>
      <w:proofErr w:type="spellEnd"/>
      <w:r w:rsidRPr="00DA6473">
        <w:rPr>
          <w:rFonts w:ascii="Arial" w:hAnsi="Arial" w:cs="Arial"/>
          <w:sz w:val="18"/>
          <w:szCs w:val="18"/>
        </w:rPr>
        <w:t>-FeV vom 26.06.2012 (BGBl. I vom 29.06.2012, S. 1394).</w:t>
      </w:r>
    </w:p>
  </w:footnote>
  <w:footnote w:id="7">
    <w:p w:rsidR="004908AB" w:rsidRPr="00DA6473" w:rsidRDefault="004908AB" w:rsidP="00B53CD8">
      <w:pPr>
        <w:pStyle w:val="Funotentext"/>
        <w:ind w:left="357" w:hanging="357"/>
        <w:jc w:val="both"/>
        <w:rPr>
          <w:rFonts w:ascii="Arial" w:hAnsi="Arial" w:cs="Arial"/>
          <w:sz w:val="18"/>
          <w:szCs w:val="18"/>
        </w:rPr>
      </w:pPr>
      <w:r w:rsidRPr="00DA6473">
        <w:rPr>
          <w:rStyle w:val="Funotenzeichen"/>
          <w:rFonts w:ascii="Arial" w:hAnsi="Arial" w:cs="Arial"/>
          <w:sz w:val="18"/>
          <w:szCs w:val="18"/>
        </w:rPr>
        <w:footnoteRef/>
      </w:r>
      <w:r w:rsidRPr="00DA6473">
        <w:rPr>
          <w:rFonts w:ascii="Arial" w:hAnsi="Arial" w:cs="Arial"/>
          <w:sz w:val="18"/>
          <w:szCs w:val="18"/>
        </w:rPr>
        <w:t xml:space="preserve"> </w:t>
      </w:r>
      <w:r w:rsidRPr="00DA6473">
        <w:rPr>
          <w:rFonts w:ascii="Arial" w:hAnsi="Arial" w:cs="Arial"/>
          <w:sz w:val="18"/>
          <w:szCs w:val="18"/>
        </w:rPr>
        <w:tab/>
        <w:t xml:space="preserve">Vgl. Bay VGH DAR 2011, 425; </w:t>
      </w:r>
      <w:proofErr w:type="spellStart"/>
      <w:r w:rsidRPr="00DA6473">
        <w:rPr>
          <w:rFonts w:ascii="Arial" w:hAnsi="Arial" w:cs="Arial"/>
          <w:sz w:val="18"/>
          <w:szCs w:val="18"/>
        </w:rPr>
        <w:t>BayVGH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 vom 14.01.2013 -11 ZB 12.2417- </w:t>
      </w:r>
      <w:proofErr w:type="spellStart"/>
      <w:r w:rsidRPr="00DA6473">
        <w:rPr>
          <w:rFonts w:ascii="Arial" w:hAnsi="Arial" w:cs="Arial"/>
          <w:sz w:val="18"/>
          <w:szCs w:val="18"/>
        </w:rPr>
        <w:t>juris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A6473">
        <w:rPr>
          <w:rFonts w:ascii="Arial" w:hAnsi="Arial" w:cs="Arial"/>
          <w:sz w:val="18"/>
          <w:szCs w:val="18"/>
        </w:rPr>
        <w:t>ByVGH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 vom 28.07.2015 -11 ZB 15.418-; </w:t>
      </w:r>
      <w:proofErr w:type="spellStart"/>
      <w:r w:rsidRPr="00DA6473">
        <w:rPr>
          <w:rFonts w:ascii="Arial" w:hAnsi="Arial" w:cs="Arial"/>
          <w:sz w:val="18"/>
          <w:szCs w:val="18"/>
        </w:rPr>
        <w:t>BayVGH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 VRS 131 (2017), 218; OVG Münster vom 02.01.2014 -16 B 1394/13- </w:t>
      </w:r>
      <w:proofErr w:type="spellStart"/>
      <w:r w:rsidRPr="00DA6473">
        <w:rPr>
          <w:rFonts w:ascii="Arial" w:hAnsi="Arial" w:cs="Arial"/>
          <w:sz w:val="18"/>
          <w:szCs w:val="18"/>
        </w:rPr>
        <w:t>juris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; VG München vom 03.11.2015 –M1 K 15.1129- </w:t>
      </w:r>
      <w:proofErr w:type="spellStart"/>
      <w:r w:rsidRPr="00DA6473">
        <w:rPr>
          <w:rFonts w:ascii="Arial" w:hAnsi="Arial" w:cs="Arial"/>
          <w:sz w:val="18"/>
          <w:szCs w:val="18"/>
        </w:rPr>
        <w:t>juris</w:t>
      </w:r>
      <w:proofErr w:type="spellEnd"/>
      <w:r w:rsidRPr="00DA6473">
        <w:rPr>
          <w:rFonts w:ascii="Arial" w:hAnsi="Arial" w:cs="Arial"/>
          <w:sz w:val="18"/>
          <w:szCs w:val="18"/>
        </w:rPr>
        <w:t xml:space="preserve">;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6"/>
    <w:rsid w:val="0005627E"/>
    <w:rsid w:val="00104731"/>
    <w:rsid w:val="001E24EA"/>
    <w:rsid w:val="00297DEC"/>
    <w:rsid w:val="002C680D"/>
    <w:rsid w:val="00435036"/>
    <w:rsid w:val="004908AB"/>
    <w:rsid w:val="0054592A"/>
    <w:rsid w:val="0065149C"/>
    <w:rsid w:val="007D7832"/>
    <w:rsid w:val="00860BFC"/>
    <w:rsid w:val="00A32FB3"/>
    <w:rsid w:val="00B324B9"/>
    <w:rsid w:val="00B53CD8"/>
    <w:rsid w:val="00C47895"/>
    <w:rsid w:val="00CC48AE"/>
    <w:rsid w:val="00CE1ED1"/>
    <w:rsid w:val="00D0263A"/>
    <w:rsid w:val="00D06375"/>
    <w:rsid w:val="00D07CF6"/>
    <w:rsid w:val="00D6068B"/>
    <w:rsid w:val="00DA6473"/>
    <w:rsid w:val="00E9222E"/>
    <w:rsid w:val="00F16D66"/>
    <w:rsid w:val="00F2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0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324B9"/>
    <w:rPr>
      <w:b/>
      <w:bCs/>
    </w:rPr>
  </w:style>
  <w:style w:type="paragraph" w:styleId="Listenabsatz">
    <w:name w:val="List Paragraph"/>
    <w:basedOn w:val="Standard"/>
    <w:uiPriority w:val="34"/>
    <w:qFormat/>
    <w:rsid w:val="00B324B9"/>
    <w:pPr>
      <w:spacing w:after="0" w:line="240" w:lineRule="auto"/>
      <w:ind w:left="720" w:hanging="709"/>
      <w:contextualSpacing/>
      <w:jc w:val="both"/>
    </w:pPr>
    <w:rPr>
      <w:rFonts w:ascii="Arial" w:eastAsia="Times New Roman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6D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6D66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6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0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324B9"/>
    <w:rPr>
      <w:b/>
      <w:bCs/>
    </w:rPr>
  </w:style>
  <w:style w:type="paragraph" w:styleId="Listenabsatz">
    <w:name w:val="List Paragraph"/>
    <w:basedOn w:val="Standard"/>
    <w:uiPriority w:val="34"/>
    <w:qFormat/>
    <w:rsid w:val="00B324B9"/>
    <w:pPr>
      <w:spacing w:after="0" w:line="240" w:lineRule="auto"/>
      <w:ind w:left="720" w:hanging="709"/>
      <w:contextualSpacing/>
      <w:jc w:val="both"/>
    </w:pPr>
    <w:rPr>
      <w:rFonts w:ascii="Arial" w:eastAsia="Times New Roman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6D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6D66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6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Huppertz2014</dc:creator>
  <cp:lastModifiedBy>Huppertz2014</cp:lastModifiedBy>
  <cp:revision>12</cp:revision>
  <dcterms:created xsi:type="dcterms:W3CDTF">2018-11-27T13:11:00Z</dcterms:created>
  <dcterms:modified xsi:type="dcterms:W3CDTF">2018-12-06T15:45:00Z</dcterms:modified>
</cp:coreProperties>
</file>